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2086610" cy="3102610"/>
            <wp:effectExtent l="0" t="0" r="0" b="0"/>
            <wp:wrapSquare wrapText="bothSides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310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赵 蓓 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default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szCs w:val="22"/>
        </w:rPr>
        <w:t xml:space="preserve">职务 </w:t>
      </w:r>
      <w:r>
        <w:rPr>
          <w:rFonts w:hint="eastAsia" w:ascii="微软雅黑" w:hAnsi="微软雅黑" w:eastAsia="微软雅黑"/>
          <w:szCs w:val="22"/>
          <w:lang w:val="en-US" w:eastAsia="zh-CN"/>
        </w:rPr>
        <w:t>专职律师、</w:t>
      </w:r>
      <w:r>
        <w:rPr>
          <w:rFonts w:hint="eastAsia" w:ascii="微软雅黑" w:hAnsi="微软雅黑" w:eastAsia="微软雅黑"/>
          <w:szCs w:val="22"/>
        </w:rPr>
        <w:t>合伙人</w:t>
      </w:r>
      <w:r>
        <w:rPr>
          <w:rFonts w:hint="eastAsia" w:ascii="微软雅黑" w:hAnsi="微软雅黑" w:eastAsia="微软雅黑"/>
          <w:szCs w:val="22"/>
          <w:lang w:eastAsia="zh-CN"/>
        </w:rPr>
        <w:t>、</w:t>
      </w:r>
      <w:r>
        <w:rPr>
          <w:rFonts w:hint="eastAsia" w:ascii="微软雅黑" w:hAnsi="微软雅黑" w:eastAsia="微软雅黑"/>
          <w:szCs w:val="22"/>
        </w:rPr>
        <w:t>财税法律业务中心总监</w:t>
      </w:r>
      <w:r>
        <w:rPr>
          <w:rFonts w:hint="eastAsia" w:ascii="微软雅黑" w:hAnsi="微软雅黑" w:eastAsia="微软雅黑"/>
          <w:szCs w:val="22"/>
          <w:lang w:eastAsia="zh-CN"/>
        </w:rPr>
        <w:t>、</w:t>
      </w:r>
      <w:r>
        <w:rPr>
          <w:rFonts w:hint="eastAsia" w:ascii="微软雅黑" w:hAnsi="微软雅黑" w:eastAsia="微软雅黑"/>
          <w:szCs w:val="22"/>
          <w:lang w:val="en-US" w:eastAsia="zh-CN"/>
        </w:rPr>
        <w:t>产品研发与知识管理部副总监</w:t>
      </w:r>
      <w:bookmarkStart w:id="1" w:name="_GoBack"/>
      <w:bookmarkEnd w:id="1"/>
    </w:p>
    <w:p>
      <w:pPr>
        <w:adjustRightInd w:val="0"/>
        <w:snapToGrid w:val="0"/>
        <w:spacing w:line="240" w:lineRule="auto"/>
        <w:ind w:left="4320" w:hanging="4322" w:hangingChars="1800"/>
        <w:rPr>
          <w:rFonts w:hint="eastAsia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2"/>
        </w:rPr>
        <w:t>税法；公司与并购；互联网与信息技术</w:t>
      </w:r>
      <w:r>
        <w:rPr>
          <w:rFonts w:hint="eastAsia" w:ascii="微软雅黑" w:hAnsi="微软雅黑" w:eastAsia="微软雅黑"/>
          <w:szCs w:val="22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 xml:space="preserve">中国执业律师 </w:t>
      </w:r>
      <w:r>
        <w:rPr>
          <w:rFonts w:ascii="微软雅黑" w:hAnsi="微软雅黑" w:eastAsia="微软雅黑"/>
          <w:szCs w:val="22"/>
        </w:rPr>
        <w:t xml:space="preserve"> </w:t>
      </w:r>
      <w:r>
        <w:rPr>
          <w:rFonts w:hint="eastAsia" w:ascii="微软雅黑" w:hAnsi="微软雅黑" w:eastAsia="微软雅黑"/>
          <w:szCs w:val="22"/>
        </w:rPr>
        <w:t>注册税务师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中文、英文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ascii="微软雅黑" w:hAnsi="微软雅黑" w:eastAsia="微软雅黑"/>
          <w:szCs w:val="21"/>
        </w:rPr>
        <w:t>18629332881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ascii="微软雅黑" w:hAnsi="微软雅黑" w:eastAsia="微软雅黑"/>
          <w:szCs w:val="21"/>
        </w:rPr>
        <w:t>zhaobeilawyer@yeah.net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ascii="微软雅黑" w:hAnsi="微软雅黑" w:eastAsia="微软雅黑"/>
          <w:szCs w:val="21"/>
        </w:rPr>
        <w:t>16101201311513559</w:t>
      </w: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赵蓓律师、税务师，中共党员。陕西博硕律师事务所合伙人，</w:t>
      </w:r>
      <w:r>
        <w:rPr>
          <w:rFonts w:hint="eastAsia" w:ascii="微软雅黑" w:hAnsi="微软雅黑" w:eastAsia="微软雅黑"/>
          <w:szCs w:val="22"/>
        </w:rPr>
        <w:t>财税法律业务中心</w:t>
      </w:r>
      <w:r>
        <w:rPr>
          <w:rFonts w:hint="eastAsia" w:ascii="微软雅黑" w:hAnsi="微软雅黑" w:eastAsia="微软雅黑"/>
          <w:szCs w:val="21"/>
        </w:rPr>
        <w:t>负责人，陕西省法学会财税法学研究会常务理事、西安市律师协会财税法专业委员会委员。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赵蓓律师专注于企业税收优惠管理与税务筹划、税务争议解决、</w:t>
      </w:r>
      <w:r>
        <w:rPr>
          <w:rFonts w:hint="eastAsia" w:ascii="微软雅黑" w:hAnsi="微软雅黑" w:eastAsia="微软雅黑"/>
          <w:szCs w:val="22"/>
        </w:rPr>
        <w:t>企业税务合规建设、</w:t>
      </w:r>
      <w:r>
        <w:rPr>
          <w:rFonts w:hint="eastAsia" w:ascii="微软雅黑" w:hAnsi="微软雅黑" w:eastAsia="微软雅黑"/>
          <w:szCs w:val="21"/>
        </w:rPr>
        <w:t>税务风险分析、</w:t>
      </w:r>
      <w:r>
        <w:rPr>
          <w:rFonts w:hint="eastAsia" w:ascii="微软雅黑" w:hAnsi="微软雅黑" w:eastAsia="微软雅黑"/>
          <w:szCs w:val="22"/>
        </w:rPr>
        <w:t>创业投资税务架构设计、高净值人士税务风险识别</w:t>
      </w:r>
      <w:r>
        <w:rPr>
          <w:rFonts w:hint="eastAsia" w:ascii="微软雅黑" w:hAnsi="微软雅黑" w:eastAsia="微软雅黑"/>
          <w:szCs w:val="21"/>
        </w:rPr>
        <w:t>等领域的涉税法律服务，担任国家税务总局西安市税务局常年法律顾问，为多家企事业单位提供涉税法律服务，多次协助税务机关处理复杂涉税争议，以专家身份参加重大税务案件审理委员会并提供法律支持，具有较强的财税与法律专业知识与实务经验。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赵律师毕业于西北政法大学，曾赴美国“常春藤”盟校康奈尔大学法学院（Cornell Law School）访问学习，现与西北政法大学、美国康奈尔大学等多所知名院校均有良好的合作关系。凭借对中西方法律体系和商业环境的了解以及“法律+税务”跨领域的专业素养，赵律师在进行涉税法律顾问服务和处理复杂税务问题的过程中，能为客户提供系统的法律帮助和细致全面的决策支持，尤其是在协助企业对外投资、处理涉及多个法律辖区、涉税领域的项目中，实现无缝对接。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西北政法大学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法学专业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西安市碑林区人民法院 书记员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陕西博硕律师事务所</w:t>
      </w:r>
      <w:r>
        <w:rPr>
          <w:rFonts w:hint="eastAsia" w:ascii="微软雅黑" w:hAnsi="微软雅黑" w:eastAsia="微软雅黑"/>
          <w:szCs w:val="21"/>
        </w:rPr>
        <w:t xml:space="preserve"> 律师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社会职务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陕西省法学会财税法学研究会常务理事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西安市律师协会财税法专业委员会委员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获奖荣誉</w:t>
      </w:r>
    </w:p>
    <w:p>
      <w:pPr>
        <w:numPr>
          <w:ilvl w:val="0"/>
          <w:numId w:val="2"/>
        </w:numPr>
        <w:pBdr>
          <w:top w:val="single" w:color="BFBFBF" w:sz="2" w:space="1"/>
        </w:pBdr>
        <w:adjustRightInd w:val="0"/>
        <w:snapToGrid w:val="0"/>
        <w:spacing w:line="240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020</w:t>
      </w:r>
      <w:r>
        <w:rPr>
          <w:rFonts w:hint="eastAsia" w:ascii="微软雅黑" w:hAnsi="微软雅黑" w:eastAsia="微软雅黑"/>
          <w:szCs w:val="21"/>
        </w:rPr>
        <w:t>年陕西博硕律师事务所优秀律师</w:t>
      </w:r>
    </w:p>
    <w:p>
      <w:pPr>
        <w:numPr>
          <w:ilvl w:val="0"/>
          <w:numId w:val="2"/>
        </w:numPr>
        <w:pBdr>
          <w:top w:val="single" w:color="BFBFBF" w:sz="2" w:space="1"/>
        </w:pBdr>
        <w:adjustRightInd w:val="0"/>
        <w:snapToGrid w:val="0"/>
        <w:spacing w:line="240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2021</w:t>
      </w:r>
      <w:r>
        <w:rPr>
          <w:rFonts w:hint="eastAsia" w:ascii="微软雅黑" w:hAnsi="微软雅黑" w:eastAsia="微软雅黑"/>
          <w:szCs w:val="21"/>
        </w:rPr>
        <w:t>年陕西博硕律师事务所优秀法律文书奖</w:t>
      </w:r>
    </w:p>
    <w:p>
      <w:pPr>
        <w:numPr>
          <w:ilvl w:val="0"/>
          <w:numId w:val="2"/>
        </w:numPr>
        <w:pBdr>
          <w:top w:val="single" w:color="BFBFBF" w:sz="2" w:space="1"/>
        </w:pBdr>
        <w:adjustRightInd w:val="0"/>
        <w:snapToGrid w:val="0"/>
        <w:spacing w:line="240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022</w:t>
      </w:r>
      <w:r>
        <w:rPr>
          <w:rFonts w:hint="eastAsia" w:ascii="微软雅黑" w:hAnsi="微软雅黑" w:eastAsia="微软雅黑"/>
          <w:szCs w:val="21"/>
        </w:rPr>
        <w:t>年陕西博硕律师事务所优秀共产党员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担任国家税务总局西安市税务局、国家税务总局西安市税务局第二税务分局等政府机关常年法律顾问。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担任陕西省奥体青少年体育俱乐部、陕西恒志置业有限公司、陕西华龙建工集团有限公司等多家企事业单位的法律顾问，并为本地某创投企业以及某大型房开企业进行税务优化架构设计，取得良好效果。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办理的具有代表性的复杂诉讼业务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bookmarkStart w:id="0" w:name="_Hlk2933772"/>
      <w:r>
        <w:rPr>
          <w:rFonts w:hint="eastAsia" w:ascii="微软雅黑" w:hAnsi="微软雅黑" w:eastAsia="微软雅黑"/>
          <w:szCs w:val="21"/>
        </w:rPr>
        <w:t>赵律师</w:t>
      </w:r>
      <w:r>
        <w:rPr>
          <w:rFonts w:ascii="微软雅黑" w:hAnsi="微软雅黑" w:eastAsia="微软雅黑"/>
          <w:szCs w:val="21"/>
        </w:rPr>
        <w:t>代理的陕西</w:t>
      </w:r>
      <w:r>
        <w:rPr>
          <w:rFonts w:hint="eastAsia" w:ascii="微软雅黑" w:hAnsi="微软雅黑" w:eastAsia="微软雅黑"/>
          <w:szCs w:val="21"/>
        </w:rPr>
        <w:t>××</w:t>
      </w:r>
      <w:r>
        <w:rPr>
          <w:rFonts w:ascii="微软雅黑" w:hAnsi="微软雅黑" w:eastAsia="微软雅黑"/>
          <w:szCs w:val="21"/>
        </w:rPr>
        <w:t>文化传播有限公司诉委托人、第三人请求变更公司登记解除股东资格纠纷</w:t>
      </w:r>
      <w:r>
        <w:rPr>
          <w:rFonts w:hint="eastAsia" w:ascii="微软雅黑" w:hAnsi="微软雅黑" w:eastAsia="微软雅黑"/>
          <w:szCs w:val="21"/>
        </w:rPr>
        <w:t>一</w:t>
      </w:r>
      <w:r>
        <w:rPr>
          <w:rFonts w:ascii="微软雅黑" w:hAnsi="微软雅黑" w:eastAsia="微软雅黑"/>
          <w:szCs w:val="21"/>
        </w:rPr>
        <w:t>案</w:t>
      </w:r>
      <w:r>
        <w:rPr>
          <w:rFonts w:hint="eastAsia" w:ascii="微软雅黑" w:hAnsi="微软雅黑" w:eastAsia="微软雅黑"/>
          <w:szCs w:val="21"/>
        </w:rPr>
        <w:t>，经基层法院、中级法院、高级法院多轮诉讼，最终取得全面胜利，且本案</w:t>
      </w:r>
      <w:r>
        <w:rPr>
          <w:rFonts w:ascii="微软雅黑" w:hAnsi="微软雅黑" w:eastAsia="微软雅黑"/>
          <w:szCs w:val="21"/>
        </w:rPr>
        <w:t>成功入选西安法院“2020年度优化营商环境十大典型案件”。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赵律师代理的委托人与陕西××有限公司的公司解散纠纷一案，经最高人民法院审查，驳回了申请人陕西××有限公司的再审申请，委托人（本案被申请人）诉讼目的成功实现。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bookmarkEnd w:id="0"/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办理的有关“特殊性税务处理”等涉税事宜的非诉讼业务</w:t>
      </w:r>
    </w:p>
    <w:p>
      <w:pPr>
        <w:numPr>
          <w:ilvl w:val="0"/>
          <w:numId w:val="3"/>
        </w:numPr>
        <w:tabs>
          <w:tab w:val="left" w:pos="0"/>
          <w:tab w:val="clear" w:pos="420"/>
        </w:tabs>
        <w:adjustRightInd w:val="0"/>
        <w:snapToGrid w:val="0"/>
        <w:spacing w:line="276" w:lineRule="auto"/>
        <w:ind w:left="-8" w:leftChars="-4" w:firstLine="4" w:firstLineChars="2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西安宏盛科技股份有限公司（*ST 宏盛）破产重整</w:t>
      </w:r>
    </w:p>
    <w:p>
      <w:pPr>
        <w:numPr>
          <w:ilvl w:val="0"/>
          <w:numId w:val="3"/>
        </w:numPr>
        <w:tabs>
          <w:tab w:val="left" w:pos="0"/>
          <w:tab w:val="clear" w:pos="420"/>
        </w:tabs>
        <w:adjustRightInd w:val="0"/>
        <w:snapToGrid w:val="0"/>
        <w:spacing w:line="276" w:lineRule="auto"/>
        <w:ind w:left="-8" w:leftChars="-4" w:firstLine="4" w:firstLineChars="2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西安航空发动机集团机电石化设备有限公司破产重整</w:t>
      </w:r>
    </w:p>
    <w:p>
      <w:pPr>
        <w:numPr>
          <w:ilvl w:val="0"/>
          <w:numId w:val="3"/>
        </w:numPr>
        <w:tabs>
          <w:tab w:val="left" w:pos="0"/>
          <w:tab w:val="clear" w:pos="420"/>
        </w:tabs>
        <w:adjustRightInd w:val="0"/>
        <w:snapToGrid w:val="0"/>
        <w:spacing w:line="276" w:lineRule="auto"/>
        <w:ind w:left="-8" w:leftChars="-4" w:firstLine="4" w:firstLineChars="2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西安西电鹏远重型电炉制造有限公司解散清算等案</w:t>
      </w:r>
    </w:p>
    <w:p>
      <w:pPr>
        <w:numPr>
          <w:ilvl w:val="0"/>
          <w:numId w:val="3"/>
        </w:numPr>
        <w:tabs>
          <w:tab w:val="left" w:pos="0"/>
          <w:tab w:val="clear" w:pos="420"/>
        </w:tabs>
        <w:adjustRightInd w:val="0"/>
        <w:snapToGrid w:val="0"/>
        <w:spacing w:line="276" w:lineRule="auto"/>
        <w:ind w:left="-8" w:leftChars="-4" w:firstLine="4" w:firstLineChars="2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陕西博鑫体育文化传播有限公司解散清算案</w:t>
      </w:r>
    </w:p>
    <w:p>
      <w:pPr>
        <w:numPr>
          <w:ilvl w:val="0"/>
          <w:numId w:val="3"/>
        </w:numPr>
        <w:tabs>
          <w:tab w:val="left" w:pos="0"/>
          <w:tab w:val="clear" w:pos="420"/>
        </w:tabs>
        <w:adjustRightInd w:val="0"/>
        <w:snapToGrid w:val="0"/>
        <w:spacing w:line="276" w:lineRule="auto"/>
        <w:ind w:left="-8" w:leftChars="-4" w:firstLine="4" w:firstLineChars="2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某地产公司并购交易设计及涉税管理</w:t>
      </w:r>
    </w:p>
    <w:p>
      <w:pPr>
        <w:adjustRightInd w:val="0"/>
        <w:snapToGrid w:val="0"/>
        <w:spacing w:line="276" w:lineRule="auto"/>
        <w:ind w:left="-8"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left="-8" w:firstLine="0" w:firstLineChars="0"/>
        <w:rPr>
          <w:rFonts w:ascii="微软雅黑" w:hAnsi="微软雅黑" w:eastAsia="微软雅黑"/>
          <w:szCs w:val="21"/>
        </w:rPr>
      </w:pP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涉税专业文章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《合作开发房地产涉税问题解析》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《房地产企业“资金拆借”税务风险防范及节税策略分析》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《筑梦“一带一路” 助力企业“走出去”——中国企业境外投资税收风险与防控研究》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《从“共享单车”看创新及小微企业的税务筹划》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《“涉税犯罪”系列解析》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《营改增后，如何选择供应商？一般纳税人 or 小规模纳税人？》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《闲钱投资 如何节税？》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《聊一聊即将开征的新税种——环保税》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《过年抢的红包，要不要缴税？》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《关于全面实施新个人所得税若干征管衔接问题公告的解读》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《蓓律聊</w:t>
      </w:r>
      <w:r>
        <w:rPr>
          <w:rFonts w:ascii="微软雅黑" w:hAnsi="微软雅黑" w:eastAsia="微软雅黑"/>
          <w:szCs w:val="21"/>
        </w:rPr>
        <w:t>CRS</w:t>
      </w:r>
      <w:r>
        <w:rPr>
          <w:rFonts w:hint="eastAsia" w:ascii="微软雅黑" w:hAnsi="微软雅黑" w:eastAsia="微软雅黑"/>
          <w:szCs w:val="21"/>
        </w:rPr>
        <w:t>系列文章》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《一文读懂个人所得税法修改要点》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《税法风云系列丨每月涉税资讯综述》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专业领域参考：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103505</wp:posOffset>
                </wp:positionV>
                <wp:extent cx="2367915" cy="1942465"/>
                <wp:effectExtent l="0" t="0" r="6985" b="889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6791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10.资本市场/证券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11.破产与重组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.银行与金融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保险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融资租赁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知识产权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6.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一带一路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7.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教育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8.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行政法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00.9pt;margin-top:8.15pt;height:152.95pt;width:186.45pt;mso-wrap-distance-bottom:3.6pt;mso-wrap-distance-left:9pt;mso-wrap-distance-right:9pt;mso-wrap-distance-top:3.6pt;z-index:251660288;mso-width-relative:page;mso-height-relative:margin;mso-height-percent:200;" fillcolor="#FFFFFF" filled="t" stroked="t" coordsize="21600,21600" o:gfxdata="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qCk&#10;odcAAAAKAQAADwAAAAAAAAABACAAAAAiAAAAZHJzL2Rvd25yZXYueG1sUEsBAhQAFAAAAAgAh07i&#10;QFhztC4jAgAATgQAAA4AAAAAAAAAAQAgAAAAJg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10.资本市场/证券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11.破产与重组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.银行与金融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3.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保险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融资租赁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5.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知识产权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6.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一带一路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7.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教育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8.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行政法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103505</wp:posOffset>
                </wp:positionV>
                <wp:extent cx="2281555" cy="1942465"/>
                <wp:effectExtent l="0" t="0" r="17145" b="889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8155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1. 诉讼与仲裁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税法相关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税务筹划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涉税争议解决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2"/>
                              </w:rPr>
                              <w:t>创业投资税务架构设计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. 涉税犯罪刑事辩护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企业税务合规建设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8.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公司业务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. 房地产与建设工程领域法律服务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.6pt;margin-top:8.15pt;height:152.95pt;width:179.65pt;mso-wrap-distance-bottom:3.6pt;mso-wrap-distance-left:9pt;mso-wrap-distance-right:9pt;mso-wrap-distance-top:3.6pt;z-index:251661312;mso-width-relative:page;mso-height-relative:margin;mso-height-percent:200;" fillcolor="#FFFFFF" filled="t" stroked="t" coordsize="21600,21600" o:gfxdata="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H3y2b1gAA&#10;AAkBAAAPAAAAAAAAAAEAIAAAACIAAABkcnMvZG93bnJldi54bWxQSwECFAAUAAAACACHTuJA6HSd&#10;viACAABMBAAADgAAAAAAAAABACAAAAAl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1. 诉讼与仲裁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税法相关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税务筹划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涉税争议解决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 w:ascii="微软雅黑" w:hAnsi="微软雅黑" w:eastAsia="微软雅黑"/>
                          <w:szCs w:val="22"/>
                        </w:rPr>
                        <w:t>创业投资税务架构设计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. 涉税犯罪刑事辩护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企业税务合规建设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8.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公司业务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. 房地产与建设工程领域法律服务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0" w:firstLineChars="0"/>
        <w:jc w:val="left"/>
        <w:rPr>
          <w:rFonts w:ascii="仿宋" w:hAnsi="仿宋" w:eastAsia="仿宋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624" w:footer="851" w:gutter="0"/>
      <w:pgNumType w:start="1" w:chapStyle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444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ind w:firstLine="360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ind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116205</wp:posOffset>
          </wp:positionV>
          <wp:extent cx="1835785" cy="306070"/>
          <wp:effectExtent l="0" t="0" r="0" b="0"/>
          <wp:wrapNone/>
          <wp:docPr id="6" name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785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黑体" w:hAnsi="黑体" w:eastAsia="黑体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460375</wp:posOffset>
              </wp:positionV>
              <wp:extent cx="5400040" cy="0"/>
              <wp:effectExtent l="7620" t="12700" r="12065" b="6350"/>
              <wp:wrapNone/>
              <wp:docPr id="5" name="直接箭头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5.4pt;margin-top:36.25pt;height:0pt;width:425.2pt;z-index:251660288;mso-width-relative:page;mso-height-relative:page;" filled="f" stroked="t" coordsize="21600,21600" o:gfxdata="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cKPO2AAAAAkBAAAPAAAAAAAAAAEAIAAAACIAAABkcnMvZG93bnJldi54bWxQSwEC&#10;FAAUAAAACACHTuJA7Jx3xPQBAAC+AwAADgAAAAAAAAABACAAAAAnAQAAZHJzL2Uyb0RvYy54bWxQ&#10;SwUGAAAAAAYABgBZAQAAjQ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黑体" w:hAnsi="黑体" w:eastAsia="黑体"/>
        <w:b/>
        <w:sz w:val="2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-501650</wp:posOffset>
              </wp:positionV>
              <wp:extent cx="297815" cy="321310"/>
              <wp:effectExtent l="0" t="3175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0" w:firstLineChars="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0pt;margin-top:-39.5pt;height:25.3pt;width:23.45pt;mso-wrap-style:none;z-index:251659264;mso-width-relative:page;mso-height-relative:page;" filled="f" stroked="f" coordsize="21600,21600" o:gfxdata="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x+5CtYAAAALAQAADwAAAAAA&#10;AAABACAAAAAiAAAAZHJzL2Rvd25yZXYueG1sUEsBAhQAFAAAAAgAh07iQPg6UbEVAgAAEgQAAA4A&#10;AAAAAAAAAQAgAAAAJQEAAGRycy9lMm9Eb2MueG1sUEsFBgAAAAAGAAYAWQEAAKwFAAAAAA=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ind w:firstLine="0" w:firstLineChars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numPicBullet w:numPicBulletId="1">
    <w:pict>
      <v:shape id="1" type="#_x0000_t75" style="width:20px;height:19px" o:bullet="t">
        <v:imagedata r:id="rId2" o:title=""/>
      </v:shape>
    </w:pict>
  </w:numPicBullet>
  <w:numPicBullet w:numPicBulletId="2">
    <w:pict>
      <v:shape id="2" type="#_x0000_t75" style="width:20px;height:19px" o:bullet="t">
        <v:imagedata r:id="rId3" o:title=""/>
      </v:shape>
    </w:pict>
  </w:numPicBullet>
  <w:abstractNum w:abstractNumId="0">
    <w:nsid w:val="2FFE59F1"/>
    <w:multiLevelType w:val="multilevel"/>
    <w:tmpl w:val="2FFE59F1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38723942"/>
    <w:multiLevelType w:val="multilevel"/>
    <w:tmpl w:val="38723942"/>
    <w:lvl w:ilvl="0" w:tentative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2">
    <w:nsid w:val="5F1C7D63"/>
    <w:multiLevelType w:val="multilevel"/>
    <w:tmpl w:val="5F1C7D63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jOTUwNjE2MzRmNzFmNTQwOGNkNDU2MWUyMjIzOGEifQ=="/>
  </w:docVars>
  <w:rsids>
    <w:rsidRoot w:val="00075A25"/>
    <w:rsid w:val="00075A25"/>
    <w:rsid w:val="000D1019"/>
    <w:rsid w:val="001242FC"/>
    <w:rsid w:val="0014232F"/>
    <w:rsid w:val="00173DE7"/>
    <w:rsid w:val="00183D10"/>
    <w:rsid w:val="001E1CCA"/>
    <w:rsid w:val="001E6C3E"/>
    <w:rsid w:val="001F04B7"/>
    <w:rsid w:val="002075EE"/>
    <w:rsid w:val="00211882"/>
    <w:rsid w:val="002703FF"/>
    <w:rsid w:val="002C55A1"/>
    <w:rsid w:val="00317491"/>
    <w:rsid w:val="0033056F"/>
    <w:rsid w:val="00366B40"/>
    <w:rsid w:val="00366F5D"/>
    <w:rsid w:val="00387FD7"/>
    <w:rsid w:val="003D0574"/>
    <w:rsid w:val="003F3935"/>
    <w:rsid w:val="004635CF"/>
    <w:rsid w:val="00477D40"/>
    <w:rsid w:val="00486490"/>
    <w:rsid w:val="004A12CD"/>
    <w:rsid w:val="004E064F"/>
    <w:rsid w:val="00500A60"/>
    <w:rsid w:val="00503A7F"/>
    <w:rsid w:val="00512275"/>
    <w:rsid w:val="00550399"/>
    <w:rsid w:val="00563FA1"/>
    <w:rsid w:val="00566F48"/>
    <w:rsid w:val="0057363E"/>
    <w:rsid w:val="00575103"/>
    <w:rsid w:val="005753BA"/>
    <w:rsid w:val="005B2CDB"/>
    <w:rsid w:val="005D766F"/>
    <w:rsid w:val="0060358C"/>
    <w:rsid w:val="00637CE9"/>
    <w:rsid w:val="0064597C"/>
    <w:rsid w:val="006509CC"/>
    <w:rsid w:val="00692233"/>
    <w:rsid w:val="0069789C"/>
    <w:rsid w:val="006A5301"/>
    <w:rsid w:val="006D5639"/>
    <w:rsid w:val="006D5FAE"/>
    <w:rsid w:val="00771E64"/>
    <w:rsid w:val="00795D0A"/>
    <w:rsid w:val="007A30CB"/>
    <w:rsid w:val="007A4455"/>
    <w:rsid w:val="008230D9"/>
    <w:rsid w:val="00881D25"/>
    <w:rsid w:val="00896ADC"/>
    <w:rsid w:val="008C3925"/>
    <w:rsid w:val="008E2913"/>
    <w:rsid w:val="008E4899"/>
    <w:rsid w:val="008F6AE0"/>
    <w:rsid w:val="00947E08"/>
    <w:rsid w:val="009906BC"/>
    <w:rsid w:val="00994297"/>
    <w:rsid w:val="009B07A6"/>
    <w:rsid w:val="009C08B8"/>
    <w:rsid w:val="009C55D7"/>
    <w:rsid w:val="009F3A5F"/>
    <w:rsid w:val="00A23766"/>
    <w:rsid w:val="00A66C1A"/>
    <w:rsid w:val="00A812A4"/>
    <w:rsid w:val="00B10CC0"/>
    <w:rsid w:val="00C61C57"/>
    <w:rsid w:val="00CA6B59"/>
    <w:rsid w:val="00DB411C"/>
    <w:rsid w:val="00DC6E0F"/>
    <w:rsid w:val="00E50575"/>
    <w:rsid w:val="00E765C1"/>
    <w:rsid w:val="00EF49B8"/>
    <w:rsid w:val="00F16DD3"/>
    <w:rsid w:val="00FF4C6A"/>
    <w:rsid w:val="058F0DCF"/>
    <w:rsid w:val="134B1F5D"/>
    <w:rsid w:val="251D7693"/>
    <w:rsid w:val="659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1429</Words>
  <Characters>1506</Characters>
  <Lines>11</Lines>
  <Paragraphs>3</Paragraphs>
  <TotalTime>1</TotalTime>
  <ScaleCrop>false</ScaleCrop>
  <LinksUpToDate>false</LinksUpToDate>
  <CharactersWithSpaces>1532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2022-09-30T09:43:00Z</dcterms:created>
  <dc:creator>Lawyer Zhao.</dc:creator>
  <cp:lastModifiedBy>Reed</cp:lastModifiedBy>
  <dcterms:modified xsi:type="dcterms:W3CDTF">2022-10-18T02:32:27Z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C5AF3C8FD5CF42BBB974F4FBF9A4B13D</vt:lpwstr>
  </property>
</Properties>
</file>